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8D" w:rsidRPr="0080448D" w:rsidRDefault="0080448D" w:rsidP="0080448D">
      <w:pPr>
        <w:jc w:val="center"/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  <w:t>THEORY AND HISTORY OF STATE AND LAW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Byrkovych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О. І.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THE ROLE AND STATUS OF THE JUDICIARY IN THE SYSTEM</w:t>
      </w:r>
      <w:r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</w:t>
      </w:r>
      <w:bookmarkStart w:id="0" w:name="_GoBack"/>
      <w:bookmarkEnd w:id="0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OF PUBLIC AUTHORITIES UNDER THE CONSTITUTION OF P. ORLIK (1710) 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Didach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V. І.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RESPONSIBILITY OF CIVIL SERVANTS AS A TERM OF LEGAL SCIENCE 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Ivanov O. Yu.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HISTORICAL AND ІDEOLOGICAL ASPECTS OF THE RUSSIAN EXPANSION</w:t>
      </w:r>
      <w:r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</w:t>
      </w: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IN MOLDOVA (LATE 18TH – MID 19TH CENTURIES) AS A SUBJECT</w:t>
      </w:r>
      <w:r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</w:t>
      </w: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OF HISTORICAL AND LEGAL RESEARCH 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Kolb O. H., </w:t>
      </w: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Duchyminska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L. M.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ON THE SUBSTANTIVE ELEMENTS OF THE CONCEPT</w:t>
      </w:r>
      <w:r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</w:t>
      </w: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OF “NATIONAL SECURITY OF UKRAINE” 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center"/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  <w:t>CIVIL LAW AND CIVIL PROCEDURE; FAMILY LAW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Rym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T. </w:t>
      </w: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Ya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.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RESTORATION OF THE INVESTOR’S POSITION, THAT EXISTED BEFORE</w:t>
      </w:r>
      <w:r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</w:t>
      </w: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THE BREACH OF THE OBLIGATION, IN THE MECHANISM</w:t>
      </w:r>
      <w:r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</w:t>
      </w: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OF PROTECTION OF RIGHTS IN THE CONSTRUCTION SPHERE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center"/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  <w:t>LAND LAW; AGRICULTURAL LAW;</w:t>
      </w:r>
      <w:r w:rsidRPr="0080448D"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  <w:t xml:space="preserve"> </w:t>
      </w:r>
      <w:r w:rsidRPr="0080448D"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  <w:t>ENVIRONMENTAL LAW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Lozo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O. V., </w:t>
      </w: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Ovsiienko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K. S.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LEGAL STATUS OF INTERNAL CLIMATE MIGRANTS 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center"/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  <w:t>ADMINISTRATIVE LAW AND PROCEDURE;</w:t>
      </w:r>
      <w:r w:rsidRPr="0080448D"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  <w:t xml:space="preserve"> </w:t>
      </w:r>
      <w:r w:rsidRPr="0080448D"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  <w:t>FINANCIAL LAW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Gorpinenko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V. V.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THE STATUS OF THE BASEL COMMITTEE</w:t>
      </w:r>
      <w:r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</w:t>
      </w: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AS AN INTERNATIONAL ORGANIZATION 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Lemekhа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R. I.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SYSTEM OF METHODS OF LEGAL REGULATION CUSTOMS REGIMES IN UKRAINE 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Lytvynenko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Ye. V.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ADMINISTRATIVE AND LEGAL REGULATION IN THE SPHERE</w:t>
      </w:r>
      <w:r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</w:t>
      </w: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OF EDUCATIONAL SERVICES PROVISION: CONCEPT, ESSENCE AND MEANING 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Sirant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M. M.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LEGAL AWARENESS IN THE FIELD OF ECOLOGY</w:t>
      </w:r>
      <w:r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</w:t>
      </w: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AS A NECESSARY RIGHT OF CITIZENS 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center"/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  <w:t>CRIMINAL LAW AND CRIMINOLOGY;</w:t>
      </w:r>
      <w:r w:rsidRPr="0080448D"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  <w:t xml:space="preserve"> </w:t>
      </w:r>
      <w:r w:rsidRPr="0080448D"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  <w:t>CRIMINAL EXECUTIVE LAW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Dieiev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M. V., </w:t>
      </w: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Kaliuha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K. V.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ON THE INTRODUCTION OF PROFILING IN ADVOCACY 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Matviichuk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M. A.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IOANNIKII MALYNOVSKIY ON EXILE: A PENAL ASPECT 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center"/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  <w:t>CRIMINAL PROCEDURE AND FORENSIC SCIENCE;</w:t>
      </w:r>
      <w:r w:rsidRPr="0080448D"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  <w:t xml:space="preserve"> </w:t>
      </w:r>
      <w:r w:rsidRPr="0080448D"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  <w:t>FORENSIC ANALYSIS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Skriabin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A. N.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CERTAIN ASPECTS OF THE FUNCTIONING OF THE INSTITUTE</w:t>
      </w:r>
      <w:r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</w:t>
      </w: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OF CONCEPTS IN UKRAINIAN CRIMINAL PROCEEDINGS 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center"/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  <w:t>INTERNATIONAL LAW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Hrabovych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T. A.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OBJECTIVE ELEMENT OF THE INTERNATIONALLY</w:t>
      </w:r>
      <w:r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</w:t>
      </w: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WRONGFUL ACT (MATERIAL ASPECT) 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Kostyria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O. V.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THE ROLE OF THE INTERNATIONAL MARITIME ORGANIZATION</w:t>
      </w:r>
      <w:r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</w:t>
      </w: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IN THE CODIFICATION OF INTERNATIONAL MARITIME LAW 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center"/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/>
          <w:bCs/>
          <w:color w:val="221E1F"/>
          <w:sz w:val="22"/>
          <w:szCs w:val="22"/>
          <w:lang w:val="en-US"/>
        </w:rPr>
        <w:t>ACTUAL PROBLEMS OF LEGAL SCIENCE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Prasov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O. O.</w:t>
      </w:r>
    </w:p>
    <w:p w:rsid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THE RIGHT OF PERSONS CONVICTED BEFORE DEPRIVATION OF LIBERTY,</w:t>
      </w:r>
      <w:r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</w:t>
      </w: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AT THE PLACE OF RESIDENCE </w:t>
      </w: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</w:p>
    <w:p w:rsidR="0080448D" w:rsidRPr="0080448D" w:rsidRDefault="0080448D" w:rsidP="0080448D">
      <w:pPr>
        <w:jc w:val="both"/>
        <w:rPr>
          <w:rFonts w:ascii="Calibri" w:hAnsi="Calibri" w:cs="Calibri"/>
          <w:bCs/>
          <w:color w:val="221E1F"/>
          <w:sz w:val="22"/>
          <w:szCs w:val="22"/>
          <w:lang w:val="en-US"/>
        </w:rPr>
      </w:pPr>
      <w:proofErr w:type="spellStart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Ryzhyi</w:t>
      </w:r>
      <w:proofErr w:type="spellEnd"/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 xml:space="preserve"> A. V.</w:t>
      </w:r>
    </w:p>
    <w:p w:rsidR="006F1032" w:rsidRPr="0080448D" w:rsidRDefault="0080448D" w:rsidP="0080448D">
      <w:pPr>
        <w:jc w:val="both"/>
        <w:rPr>
          <w:rStyle w:val="FontStyle11"/>
          <w:b w:val="0"/>
          <w:bCs w:val="0"/>
          <w:sz w:val="24"/>
          <w:szCs w:val="24"/>
          <w:lang w:val="en-US"/>
        </w:rPr>
      </w:pPr>
      <w:r w:rsidRPr="0080448D">
        <w:rPr>
          <w:rFonts w:ascii="Calibri" w:hAnsi="Calibri" w:cs="Calibri"/>
          <w:bCs/>
          <w:color w:val="221E1F"/>
          <w:sz w:val="22"/>
          <w:szCs w:val="22"/>
          <w:lang w:val="en-US"/>
        </w:rPr>
        <w:t>LEGAL NATURE AND FEATURES OF TOURIST TAX COLLECTION</w:t>
      </w:r>
    </w:p>
    <w:sectPr w:rsidR="006F1032" w:rsidRPr="0080448D" w:rsidSect="0085590E">
      <w:footerReference w:type="default" r:id="rId6"/>
      <w:type w:val="continuous"/>
      <w:pgSz w:w="11905" w:h="16837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7BC" w:rsidRDefault="008E57BC">
      <w:r>
        <w:separator/>
      </w:r>
    </w:p>
  </w:endnote>
  <w:endnote w:type="continuationSeparator" w:id="0">
    <w:p w:rsidR="008E57BC" w:rsidRDefault="008E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03E" w:rsidRDefault="005F703E">
    <w:pPr>
      <w:pStyle w:val="Style4"/>
      <w:widowControl/>
      <w:spacing w:line="240" w:lineRule="auto"/>
      <w:ind w:left="4488"/>
      <w:jc w:val="both"/>
      <w:rPr>
        <w:rStyle w:val="FontStyle13"/>
        <w:lang w:val="uk-UA" w:eastAsia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7BC" w:rsidRDefault="008E57BC">
      <w:r>
        <w:separator/>
      </w:r>
    </w:p>
  </w:footnote>
  <w:footnote w:type="continuationSeparator" w:id="0">
    <w:p w:rsidR="008E57BC" w:rsidRDefault="008E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032"/>
    <w:rsid w:val="000271D8"/>
    <w:rsid w:val="000819BB"/>
    <w:rsid w:val="000A3E22"/>
    <w:rsid w:val="000F7F4B"/>
    <w:rsid w:val="0015035D"/>
    <w:rsid w:val="00185575"/>
    <w:rsid w:val="001A35E2"/>
    <w:rsid w:val="00201C47"/>
    <w:rsid w:val="002925B9"/>
    <w:rsid w:val="002C6635"/>
    <w:rsid w:val="00306F39"/>
    <w:rsid w:val="00385AA0"/>
    <w:rsid w:val="00420B62"/>
    <w:rsid w:val="00492CD9"/>
    <w:rsid w:val="004C2373"/>
    <w:rsid w:val="004F7BF5"/>
    <w:rsid w:val="005134F6"/>
    <w:rsid w:val="00515191"/>
    <w:rsid w:val="00591323"/>
    <w:rsid w:val="005972A9"/>
    <w:rsid w:val="005B2276"/>
    <w:rsid w:val="005C17A1"/>
    <w:rsid w:val="005F703E"/>
    <w:rsid w:val="00606463"/>
    <w:rsid w:val="00641756"/>
    <w:rsid w:val="006C6839"/>
    <w:rsid w:val="006F1032"/>
    <w:rsid w:val="007053AC"/>
    <w:rsid w:val="007A787E"/>
    <w:rsid w:val="007B0D2A"/>
    <w:rsid w:val="007C1950"/>
    <w:rsid w:val="007C37E4"/>
    <w:rsid w:val="0080448D"/>
    <w:rsid w:val="0085590E"/>
    <w:rsid w:val="008563E9"/>
    <w:rsid w:val="008E57BC"/>
    <w:rsid w:val="009018D5"/>
    <w:rsid w:val="0090350C"/>
    <w:rsid w:val="0097303B"/>
    <w:rsid w:val="0098131F"/>
    <w:rsid w:val="00A0346E"/>
    <w:rsid w:val="00A03EA3"/>
    <w:rsid w:val="00A93438"/>
    <w:rsid w:val="00AB6321"/>
    <w:rsid w:val="00AC2E2D"/>
    <w:rsid w:val="00C15018"/>
    <w:rsid w:val="00C3186E"/>
    <w:rsid w:val="00D70BC2"/>
    <w:rsid w:val="00DE497B"/>
    <w:rsid w:val="00E2171B"/>
    <w:rsid w:val="00E62EF0"/>
    <w:rsid w:val="00F40AF7"/>
    <w:rsid w:val="00F5010C"/>
    <w:rsid w:val="00F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5E13F"/>
  <w14:defaultImageDpi w14:val="0"/>
  <w15:docId w15:val="{31B8DFD7-7C8D-4068-8E1E-499D6325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" w:cs="Arial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pPr>
      <w:spacing w:line="226" w:lineRule="exact"/>
      <w:ind w:firstLine="283"/>
    </w:pPr>
  </w:style>
  <w:style w:type="paragraph" w:customStyle="1" w:styleId="Style4">
    <w:name w:val="Style4"/>
    <w:basedOn w:val="a"/>
    <w:uiPriority w:val="99"/>
    <w:pPr>
      <w:spacing w:line="226" w:lineRule="exact"/>
    </w:pPr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uiPriority w:val="99"/>
    <w:rPr>
      <w:rFonts w:ascii="Arial" w:hAnsi="Arial" w:cs="Arial"/>
      <w:i/>
      <w:iCs/>
      <w:sz w:val="18"/>
      <w:szCs w:val="18"/>
    </w:rPr>
  </w:style>
  <w:style w:type="character" w:customStyle="1" w:styleId="FontStyle13">
    <w:name w:val="Font Style13"/>
    <w:uiPriority w:val="99"/>
    <w:rPr>
      <w:rFonts w:ascii="Arial" w:hAnsi="Arial" w:cs="Arial"/>
      <w:sz w:val="18"/>
      <w:szCs w:val="18"/>
    </w:rPr>
  </w:style>
  <w:style w:type="character" w:customStyle="1" w:styleId="FontStyle14">
    <w:name w:val="Font Style14"/>
    <w:uiPriority w:val="99"/>
    <w:rPr>
      <w:rFonts w:ascii="Arial" w:hAnsi="Arial" w:cs="Arial"/>
      <w:sz w:val="18"/>
      <w:szCs w:val="18"/>
    </w:rPr>
  </w:style>
  <w:style w:type="paragraph" w:customStyle="1" w:styleId="Pa9">
    <w:name w:val="Pa9"/>
    <w:basedOn w:val="a"/>
    <w:next w:val="a"/>
    <w:uiPriority w:val="99"/>
    <w:rsid w:val="007B0D2A"/>
    <w:pPr>
      <w:widowControl/>
      <w:spacing w:line="361" w:lineRule="atLeast"/>
    </w:pPr>
  </w:style>
  <w:style w:type="paragraph" w:customStyle="1" w:styleId="Pa6">
    <w:name w:val="Pa6"/>
    <w:basedOn w:val="a"/>
    <w:next w:val="a"/>
    <w:uiPriority w:val="99"/>
    <w:rsid w:val="007B0D2A"/>
    <w:pPr>
      <w:widowControl/>
      <w:spacing w:line="261" w:lineRule="atLeast"/>
    </w:pPr>
  </w:style>
  <w:style w:type="paragraph" w:customStyle="1" w:styleId="Pa7">
    <w:name w:val="Pa7"/>
    <w:basedOn w:val="a"/>
    <w:next w:val="a"/>
    <w:uiPriority w:val="99"/>
    <w:rsid w:val="007B0D2A"/>
    <w:pPr>
      <w:widowControl/>
      <w:spacing w:line="221" w:lineRule="atLeast"/>
    </w:pPr>
  </w:style>
  <w:style w:type="paragraph" w:customStyle="1" w:styleId="Pa8">
    <w:name w:val="Pa8"/>
    <w:basedOn w:val="a"/>
    <w:next w:val="a"/>
    <w:uiPriority w:val="99"/>
    <w:rsid w:val="007B0D2A"/>
    <w:pPr>
      <w:widowControl/>
      <w:spacing w:line="221" w:lineRule="atLeast"/>
    </w:pPr>
  </w:style>
  <w:style w:type="paragraph" w:customStyle="1" w:styleId="Pa3">
    <w:name w:val="Pa3"/>
    <w:basedOn w:val="a"/>
    <w:next w:val="a"/>
    <w:uiPriority w:val="99"/>
    <w:rsid w:val="007B0D2A"/>
    <w:pPr>
      <w:widowControl/>
      <w:spacing w:line="241" w:lineRule="atLeast"/>
    </w:pPr>
  </w:style>
  <w:style w:type="character" w:customStyle="1" w:styleId="A3">
    <w:name w:val="A3"/>
    <w:uiPriority w:val="99"/>
    <w:rsid w:val="007B0D2A"/>
    <w:rPr>
      <w:b/>
      <w:bCs/>
      <w:color w:val="221E1F"/>
      <w:sz w:val="20"/>
      <w:szCs w:val="20"/>
    </w:rPr>
  </w:style>
  <w:style w:type="paragraph" w:customStyle="1" w:styleId="Pa1">
    <w:name w:val="Pa1"/>
    <w:basedOn w:val="a"/>
    <w:next w:val="a"/>
    <w:uiPriority w:val="99"/>
    <w:rsid w:val="007A787E"/>
    <w:pPr>
      <w:widowControl/>
      <w:spacing w:line="241" w:lineRule="atLeast"/>
    </w:pPr>
  </w:style>
  <w:style w:type="paragraph" w:customStyle="1" w:styleId="Default">
    <w:name w:val="Default"/>
    <w:rsid w:val="005C17A1"/>
    <w:pPr>
      <w:autoSpaceDE w:val="0"/>
      <w:autoSpaceDN w:val="0"/>
      <w:adjustRightInd w:val="0"/>
    </w:pPr>
    <w:rPr>
      <w:rFonts w:hAnsi="Arial" w:cs="Arial"/>
      <w:color w:val="000000"/>
      <w:sz w:val="24"/>
      <w:szCs w:val="24"/>
      <w:lang w:val="ru-RU" w:eastAsia="ru-RU"/>
    </w:rPr>
  </w:style>
  <w:style w:type="paragraph" w:customStyle="1" w:styleId="Pa01">
    <w:name w:val="Pa0+1"/>
    <w:basedOn w:val="Default"/>
    <w:next w:val="Default"/>
    <w:uiPriority w:val="99"/>
    <w:rsid w:val="005C17A1"/>
    <w:pPr>
      <w:spacing w:line="241" w:lineRule="atLeast"/>
    </w:pPr>
    <w:rPr>
      <w:color w:val="auto"/>
    </w:rPr>
  </w:style>
  <w:style w:type="paragraph" w:customStyle="1" w:styleId="Pa11">
    <w:name w:val="Pa1+1"/>
    <w:basedOn w:val="Default"/>
    <w:next w:val="Default"/>
    <w:uiPriority w:val="99"/>
    <w:rsid w:val="005C17A1"/>
    <w:pPr>
      <w:spacing w:line="261" w:lineRule="atLeast"/>
    </w:pPr>
    <w:rPr>
      <w:color w:val="auto"/>
    </w:rPr>
  </w:style>
  <w:style w:type="paragraph" w:customStyle="1" w:styleId="Pa21">
    <w:name w:val="Pa2+1"/>
    <w:basedOn w:val="Default"/>
    <w:next w:val="Default"/>
    <w:uiPriority w:val="99"/>
    <w:rsid w:val="005C17A1"/>
    <w:pPr>
      <w:spacing w:line="221" w:lineRule="atLeast"/>
    </w:pPr>
    <w:rPr>
      <w:color w:val="auto"/>
    </w:rPr>
  </w:style>
  <w:style w:type="paragraph" w:customStyle="1" w:styleId="Pa31">
    <w:name w:val="Pa3+1"/>
    <w:basedOn w:val="Default"/>
    <w:next w:val="Default"/>
    <w:uiPriority w:val="99"/>
    <w:rsid w:val="005C17A1"/>
    <w:pPr>
      <w:spacing w:line="221" w:lineRule="atLeast"/>
    </w:pPr>
    <w:rPr>
      <w:color w:val="auto"/>
    </w:rPr>
  </w:style>
  <w:style w:type="paragraph" w:styleId="a4">
    <w:name w:val="header"/>
    <w:basedOn w:val="a"/>
    <w:link w:val="a5"/>
    <w:uiPriority w:val="99"/>
    <w:unhideWhenUsed/>
    <w:rsid w:val="005C1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C17A1"/>
    <w:rPr>
      <w:rFonts w:hAnsi="Arial" w:cs="Arial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C1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C17A1"/>
    <w:rPr>
      <w:rFonts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336</vt:lpstr>
    </vt:vector>
  </TitlesOfParts>
  <Company>Romeo1994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336</dc:title>
  <dc:creator>Admin</dc:creator>
  <cp:lastModifiedBy>Пользователь</cp:lastModifiedBy>
  <cp:revision>31</cp:revision>
  <dcterms:created xsi:type="dcterms:W3CDTF">2015-09-17T12:20:00Z</dcterms:created>
  <dcterms:modified xsi:type="dcterms:W3CDTF">2021-01-20T13:17:00Z</dcterms:modified>
</cp:coreProperties>
</file>